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6D3C0" w14:textId="77777777" w:rsidR="000200C0" w:rsidRPr="00156FB5" w:rsidRDefault="000200C0" w:rsidP="000200C0">
      <w:pPr>
        <w:pStyle w:val="bheading"/>
        <w:keepNext w:val="0"/>
      </w:pPr>
      <w:r w:rsidRPr="00156FB5">
        <w:t xml:space="preserve">The ‘four freedoms’ </w:t>
      </w:r>
    </w:p>
    <w:p w14:paraId="16963223" w14:textId="77777777" w:rsidR="000200C0" w:rsidRPr="00156FB5" w:rsidRDefault="000200C0" w:rsidP="000200C0">
      <w:pPr>
        <w:pStyle w:val="firstpara"/>
      </w:pPr>
      <w:r w:rsidRPr="00156FB5">
        <w:t xml:space="preserve">The Treaty of Rome in 1957, which established the European Economic Community, set out the </w:t>
      </w:r>
      <w:r w:rsidRPr="00156FB5">
        <w:rPr>
          <w:rStyle w:val="specificationdefinition"/>
        </w:rPr>
        <w:t>four freedoms</w:t>
      </w:r>
      <w:r w:rsidRPr="00156FB5">
        <w:t xml:space="preserve">: the freedom of movement of goods, services, capital and people. These freedoms were further strengthened by future treaties as the Community moved from a customs union towards a single market. </w:t>
      </w:r>
    </w:p>
    <w:p w14:paraId="1B0E23D6" w14:textId="77777777" w:rsidR="000200C0" w:rsidRPr="00156FB5" w:rsidRDefault="000200C0" w:rsidP="000200C0">
      <w:pPr>
        <w:pStyle w:val="speckeytermheading"/>
        <w:rPr>
          <w:rStyle w:val="bold"/>
          <w:b/>
          <w:bCs/>
        </w:rPr>
      </w:pPr>
      <w:r w:rsidRPr="00156FB5">
        <w:rPr>
          <w:rStyle w:val="bold"/>
        </w:rPr>
        <w:t>Spec key term</w:t>
      </w:r>
    </w:p>
    <w:p w14:paraId="08818849" w14:textId="77777777" w:rsidR="000200C0" w:rsidRPr="00156FB5" w:rsidRDefault="000200C0" w:rsidP="000200C0">
      <w:pPr>
        <w:pStyle w:val="specificationkeyterminbox"/>
      </w:pPr>
      <w:r w:rsidRPr="00156FB5">
        <w:rPr>
          <w:b/>
          <w:bCs/>
        </w:rPr>
        <w:t>The Four Freedoms:</w:t>
      </w:r>
      <w:r w:rsidRPr="00156FB5">
        <w:t xml:space="preserve"> The free movement of goods, services, capital and labour are the four freedoms that are the key foundations of the single market. They are enshrined in the 1957 Treaty of Rome, the Single European Act 1986, the Maastricht Treaty 1992 and the Lisbon Treaty 2007.</w:t>
      </w:r>
    </w:p>
    <w:p w14:paraId="6C560D31" w14:textId="77777777" w:rsidR="000200C0" w:rsidRPr="00156FB5" w:rsidRDefault="000200C0" w:rsidP="000200C0">
      <w:pPr>
        <w:pStyle w:val="firstparaspaced"/>
      </w:pPr>
      <w:r w:rsidRPr="00156FB5">
        <w:t>The freedoms are the foundation of the single market, and were established with the aim of benefitting member states by generating trade, improving productivity and offering workers better opportunities. For a state to be part of the single market, it must sign up to all four freedoms:</w:t>
      </w:r>
    </w:p>
    <w:p w14:paraId="3C45053D" w14:textId="77777777" w:rsidR="000200C0" w:rsidRPr="00156FB5" w:rsidRDefault="000200C0" w:rsidP="000200C0">
      <w:pPr>
        <w:pStyle w:val="cheading"/>
        <w:keepNext w:val="0"/>
      </w:pPr>
      <w:r w:rsidRPr="00156FB5">
        <w:t>1. Free movement of goods</w:t>
      </w:r>
    </w:p>
    <w:p w14:paraId="3EE6D97D" w14:textId="77777777" w:rsidR="000200C0" w:rsidRPr="00156FB5" w:rsidRDefault="000200C0" w:rsidP="000200C0">
      <w:pPr>
        <w:pStyle w:val="firstpara"/>
      </w:pPr>
      <w:r w:rsidRPr="00156FB5">
        <w:t>This freedom was the clear priority when the Treaty of Rome was signed. It allows for goods to move freely between member states without any taxes or other barriers to trade. Regulations around consumer protection mean that the goods must meet specific standards, such as food standards, and these standards also apply to imports of goods from outside the EU.</w:t>
      </w:r>
    </w:p>
    <w:p w14:paraId="39327291" w14:textId="77777777" w:rsidR="000200C0" w:rsidRPr="00156FB5" w:rsidRDefault="000200C0" w:rsidP="000200C0">
      <w:pPr>
        <w:pStyle w:val="cheading"/>
        <w:keepNext w:val="0"/>
      </w:pPr>
      <w:r w:rsidRPr="00156FB5">
        <w:t>2. Free movement of people</w:t>
      </w:r>
    </w:p>
    <w:p w14:paraId="5F61FC91" w14:textId="77777777" w:rsidR="000200C0" w:rsidRPr="00156FB5" w:rsidRDefault="000200C0" w:rsidP="000200C0">
      <w:pPr>
        <w:pStyle w:val="firstpara"/>
      </w:pPr>
      <w:r w:rsidRPr="00156FB5">
        <w:t xml:space="preserve">The free movement of people was instituted with the aim of producing a mobile workforce across the EU as citizens (and their families) are free to move to and live in any other EU country. This involves the removal of any discrimination based on nationality when it comes to employment, remuneration and conditions of work and employment. In the UK, the free </w:t>
      </w:r>
      <w:r w:rsidRPr="00156FB5">
        <w:lastRenderedPageBreak/>
        <w:t xml:space="preserve">movement of people became a mainstream political issue as the EU’s membership widened, particularly from 2004 onwards. </w:t>
      </w:r>
    </w:p>
    <w:p w14:paraId="4D2322FD" w14:textId="77777777" w:rsidR="000200C0" w:rsidRPr="00156FB5" w:rsidRDefault="000200C0" w:rsidP="000200C0">
      <w:pPr>
        <w:pStyle w:val="cheading"/>
        <w:keepNext w:val="0"/>
      </w:pPr>
      <w:r w:rsidRPr="00156FB5">
        <w:t>3. Free movement of capital</w:t>
      </w:r>
    </w:p>
    <w:p w14:paraId="5802155B" w14:textId="77777777" w:rsidR="000200C0" w:rsidRPr="00156FB5" w:rsidRDefault="000200C0" w:rsidP="000200C0">
      <w:pPr>
        <w:pStyle w:val="firstpara"/>
      </w:pPr>
      <w:r w:rsidRPr="00156FB5">
        <w:t xml:space="preserve">The free movement of capital involves removing the restrictions and controls on funds being moved between EU member states. The aim here was to generate economic growth by enabling capital to be invested efficiently. </w:t>
      </w:r>
    </w:p>
    <w:p w14:paraId="62FA2EE8" w14:textId="77777777" w:rsidR="000200C0" w:rsidRPr="00156FB5" w:rsidRDefault="000200C0" w:rsidP="000200C0">
      <w:pPr>
        <w:pStyle w:val="cheading"/>
        <w:keepNext w:val="0"/>
      </w:pPr>
      <w:r w:rsidRPr="00156FB5">
        <w:t>4. Free movement of services</w:t>
      </w:r>
    </w:p>
    <w:p w14:paraId="32E654DF" w14:textId="77777777" w:rsidR="000200C0" w:rsidRPr="00156FB5" w:rsidRDefault="000200C0" w:rsidP="000200C0">
      <w:pPr>
        <w:pStyle w:val="firstpara"/>
      </w:pPr>
      <w:r w:rsidRPr="00156FB5">
        <w:t>The free movement of services allows people or companies legally operating in one member state to offer services in other EU countries without discrimination on the grounds of nationality. Services are crucial to the single market, making up around 70% of its economic activity and employment.</w:t>
      </w:r>
    </w:p>
    <w:p w14:paraId="4952B9A4" w14:textId="77777777" w:rsidR="000200C0" w:rsidRPr="00156FB5" w:rsidRDefault="000200C0" w:rsidP="000200C0">
      <w:pPr>
        <w:pStyle w:val="bheading"/>
        <w:keepNext w:val="0"/>
      </w:pPr>
    </w:p>
    <w:p w14:paraId="05A89F20" w14:textId="77777777" w:rsidR="000200C0" w:rsidRPr="00156FB5" w:rsidRDefault="000200C0" w:rsidP="000200C0">
      <w:pPr>
        <w:pStyle w:val="bheading"/>
        <w:keepNext w:val="0"/>
      </w:pPr>
      <w:r w:rsidRPr="00156FB5">
        <w:t>Social Policy</w:t>
      </w:r>
    </w:p>
    <w:p w14:paraId="30ED3A3C" w14:textId="77777777" w:rsidR="000200C0" w:rsidRPr="00156FB5" w:rsidRDefault="000200C0" w:rsidP="000200C0">
      <w:pPr>
        <w:pStyle w:val="firstpara"/>
      </w:pPr>
      <w:r w:rsidRPr="00156FB5">
        <w:t xml:space="preserve">While the responsibility for employment and social policy lies mostly with member states, such as wage regulation (for example, the minimum wage), pensions, retirement age and unemployment benefits, social policy issues have been part of the EU’s integration process. </w:t>
      </w:r>
    </w:p>
    <w:p w14:paraId="17DFDEB3" w14:textId="77777777" w:rsidR="000200C0" w:rsidRPr="00156FB5" w:rsidRDefault="000200C0" w:rsidP="000200C0">
      <w:pPr>
        <w:pStyle w:val="bullet"/>
      </w:pPr>
      <w:r w:rsidRPr="00156FB5">
        <w:rPr>
          <w:rStyle w:val="bulletcharacter"/>
        </w:rPr>
        <w:t>»</w:t>
      </w:r>
      <w:r w:rsidRPr="00156FB5">
        <w:rPr>
          <w:rStyle w:val="bulletcharacter"/>
        </w:rPr>
        <w:tab/>
      </w:r>
      <w:r w:rsidRPr="00156FB5">
        <w:t xml:space="preserve">The Treaty of Rome included the commitment to the free movement of people and the principle of equal pay between men and women. </w:t>
      </w:r>
    </w:p>
    <w:p w14:paraId="026F36C6" w14:textId="77777777" w:rsidR="000200C0" w:rsidRPr="00156FB5" w:rsidRDefault="000200C0" w:rsidP="000200C0">
      <w:pPr>
        <w:pStyle w:val="bullet"/>
      </w:pPr>
      <w:r w:rsidRPr="00156FB5">
        <w:rPr>
          <w:rStyle w:val="bulletcharacter"/>
        </w:rPr>
        <w:t>»</w:t>
      </w:r>
      <w:r w:rsidRPr="00156FB5">
        <w:rPr>
          <w:rStyle w:val="bulletcharacter"/>
        </w:rPr>
        <w:tab/>
      </w:r>
      <w:r w:rsidRPr="00156FB5">
        <w:t xml:space="preserve">The Social Chapter, which the Conservative Government of John Major opted out of but was later signed by Tony Blair, introduced some protections for workers and expanded the EU regional policy that benefitted the more deprived areas of the UK through increased investment. </w:t>
      </w:r>
    </w:p>
    <w:p w14:paraId="7F94F0D0" w14:textId="77777777" w:rsidR="000200C0" w:rsidRPr="00156FB5" w:rsidRDefault="000200C0" w:rsidP="000200C0">
      <w:pPr>
        <w:pStyle w:val="bullet"/>
      </w:pPr>
      <w:r w:rsidRPr="00156FB5">
        <w:rPr>
          <w:rStyle w:val="bulletcharacter"/>
        </w:rPr>
        <w:t>»</w:t>
      </w:r>
      <w:r w:rsidRPr="00156FB5">
        <w:rPr>
          <w:rStyle w:val="bulletcharacter"/>
        </w:rPr>
        <w:tab/>
      </w:r>
      <w:r w:rsidRPr="00156FB5">
        <w:t xml:space="preserve">In 2017, the EU put forward the European Pillar of Social Rights as part of the its commitment to delivering new and more effective rights for Europe’s citizens in three </w:t>
      </w:r>
      <w:r w:rsidRPr="00156FB5">
        <w:lastRenderedPageBreak/>
        <w:t>areas: equal opportunities and access to the labour market, fair working conditions and social protection and inclusion.</w:t>
      </w:r>
    </w:p>
    <w:p w14:paraId="0FE7662F" w14:textId="77777777" w:rsidR="000200C0" w:rsidRPr="00156FB5" w:rsidRDefault="000200C0" w:rsidP="000200C0">
      <w:pPr>
        <w:pStyle w:val="firstparaspaced"/>
      </w:pPr>
      <w:r w:rsidRPr="00156FB5">
        <w:t xml:space="preserve">The main areas covered by EU rules include working conditions, especially for part-time and gig economy workers, workers’ health and safety, rules to prevent workplace discrimination and safety measures for the food production and distribution process. The role of the EU social policy has remained contentious in UK politics, with the Conservative Party arguing that social policy should remain in the remit of member states. </w:t>
      </w:r>
    </w:p>
    <w:p w14:paraId="7D26E01E" w14:textId="77777777" w:rsidR="00CF2934" w:rsidRDefault="00CF2934"/>
    <w:sectPr w:rsidR="00CF29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0C0"/>
    <w:rsid w:val="000200C0"/>
    <w:rsid w:val="00CF29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D75CC"/>
  <w15:chartTrackingRefBased/>
  <w15:docId w15:val="{8DC81E6E-D331-48CE-8293-8E1EBA7B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0200C0"/>
    <w:rPr>
      <w:rFonts w:ascii="Times New Roman" w:hAnsi="Times New Roman" w:cs="Times New Roman"/>
      <w:b/>
      <w:bCs/>
      <w:color w:val="auto"/>
      <w:spacing w:val="0"/>
      <w:w w:val="100"/>
      <w:position w:val="0"/>
      <w:sz w:val="24"/>
    </w:rPr>
  </w:style>
  <w:style w:type="paragraph" w:customStyle="1" w:styleId="bheading">
    <w:name w:val="b heading"/>
    <w:basedOn w:val="BodyText"/>
    <w:uiPriority w:val="99"/>
    <w:rsid w:val="000200C0"/>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8"/>
    </w:rPr>
  </w:style>
  <w:style w:type="paragraph" w:customStyle="1" w:styleId="firstpara">
    <w:name w:val="first para"/>
    <w:basedOn w:val="Normal"/>
    <w:uiPriority w:val="99"/>
    <w:rsid w:val="000200C0"/>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character" w:customStyle="1" w:styleId="specificationdefinition">
    <w:name w:val="specification definition"/>
    <w:basedOn w:val="DefaultParagraphFont"/>
    <w:uiPriority w:val="99"/>
    <w:rsid w:val="000200C0"/>
    <w:rPr>
      <w:rFonts w:ascii="Times New Roman" w:hAnsi="Times New Roman" w:cs="Times New Roman"/>
      <w:b/>
      <w:bCs/>
      <w:color w:val="auto"/>
      <w:spacing w:val="0"/>
      <w:w w:val="100"/>
      <w:position w:val="0"/>
      <w:sz w:val="24"/>
      <w:szCs w:val="18"/>
    </w:rPr>
  </w:style>
  <w:style w:type="paragraph" w:customStyle="1" w:styleId="bullet">
    <w:name w:val="bullet"/>
    <w:basedOn w:val="Normal"/>
    <w:uiPriority w:val="99"/>
    <w:rsid w:val="000200C0"/>
    <w:pPr>
      <w:widowControl w:val="0"/>
      <w:tabs>
        <w:tab w:val="left" w:pos="567"/>
        <w:tab w:val="left" w:pos="1287"/>
        <w:tab w:val="left" w:pos="1587"/>
        <w:tab w:val="left" w:pos="1814"/>
      </w:tabs>
      <w:suppressAutoHyphens/>
      <w:autoSpaceDE w:val="0"/>
      <w:autoSpaceDN w:val="0"/>
      <w:adjustRightInd w:val="0"/>
      <w:spacing w:after="0" w:line="480" w:lineRule="auto"/>
      <w:ind w:left="227" w:hanging="227"/>
      <w:textAlignment w:val="center"/>
    </w:pPr>
    <w:rPr>
      <w:rFonts w:ascii="Times New Roman" w:eastAsiaTheme="minorEastAsia" w:hAnsi="Times New Roman" w:cs="Times New Roman"/>
      <w:sz w:val="24"/>
      <w:szCs w:val="18"/>
    </w:rPr>
  </w:style>
  <w:style w:type="paragraph" w:customStyle="1" w:styleId="cheading">
    <w:name w:val="c heading"/>
    <w:basedOn w:val="Normal"/>
    <w:uiPriority w:val="99"/>
    <w:rsid w:val="000200C0"/>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sz w:val="24"/>
      <w:szCs w:val="24"/>
    </w:rPr>
  </w:style>
  <w:style w:type="character" w:customStyle="1" w:styleId="bulletcharacter">
    <w:name w:val="bullet character"/>
    <w:uiPriority w:val="99"/>
    <w:rsid w:val="000200C0"/>
    <w:rPr>
      <w:color w:val="14978A"/>
      <w:sz w:val="32"/>
      <w:szCs w:val="32"/>
    </w:rPr>
  </w:style>
  <w:style w:type="paragraph" w:customStyle="1" w:styleId="specificationkeyterminbox">
    <w:name w:val="specification key term in box"/>
    <w:basedOn w:val="BodyText"/>
    <w:uiPriority w:val="99"/>
    <w:rsid w:val="000200C0"/>
    <w:pPr>
      <w:widowControl w:val="0"/>
      <w:pBdr>
        <w:top w:val="single" w:sz="4" w:space="1" w:color="auto"/>
        <w:left w:val="single" w:sz="4" w:space="4" w:color="auto"/>
        <w:bottom w:val="single" w:sz="4" w:space="1" w:color="auto"/>
        <w:right w:val="single" w:sz="4" w:space="4" w:color="auto"/>
      </w:pBdr>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customStyle="1" w:styleId="speckeytermheading">
    <w:name w:val="spec key term heading"/>
    <w:basedOn w:val="specificationkeyterminbox"/>
    <w:uiPriority w:val="99"/>
    <w:rsid w:val="000200C0"/>
    <w:rPr>
      <w:b/>
      <w:bCs/>
      <w:szCs w:val="22"/>
    </w:rPr>
  </w:style>
  <w:style w:type="paragraph" w:customStyle="1" w:styleId="firstparaspaced">
    <w:name w:val="first para spaced"/>
    <w:basedOn w:val="firstpara"/>
    <w:uiPriority w:val="99"/>
    <w:rsid w:val="000200C0"/>
  </w:style>
  <w:style w:type="paragraph" w:styleId="BodyText">
    <w:name w:val="Body Text"/>
    <w:basedOn w:val="Normal"/>
    <w:link w:val="BodyTextChar"/>
    <w:uiPriority w:val="99"/>
    <w:semiHidden/>
    <w:unhideWhenUsed/>
    <w:rsid w:val="000200C0"/>
    <w:pPr>
      <w:spacing w:after="120"/>
    </w:pPr>
  </w:style>
  <w:style w:type="character" w:customStyle="1" w:styleId="BodyTextChar">
    <w:name w:val="Body Text Char"/>
    <w:basedOn w:val="DefaultParagraphFont"/>
    <w:link w:val="BodyText"/>
    <w:uiPriority w:val="99"/>
    <w:semiHidden/>
    <w:rsid w:val="00020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563</Words>
  <Characters>3214</Characters>
  <Application>Microsoft Office Word</Application>
  <DocSecurity>0</DocSecurity>
  <Lines>26</Lines>
  <Paragraphs>7</Paragraphs>
  <ScaleCrop>false</ScaleCrop>
  <Company>Bloomsbury Publishing Plc</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1</cp:revision>
  <dcterms:created xsi:type="dcterms:W3CDTF">2026-07-02T13:50:00Z</dcterms:created>
  <dcterms:modified xsi:type="dcterms:W3CDTF">2026-07-02T13:50:00Z</dcterms:modified>
</cp:coreProperties>
</file>